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AA81B">
      <w:pPr>
        <w:snapToGrid w:val="0"/>
        <w:rPr>
          <w:rFonts w:ascii="方正仿宋_GBK" w:eastAsia="方正仿宋_GBK"/>
          <w:sz w:val="32"/>
        </w:rPr>
      </w:pPr>
    </w:p>
    <w:p w14:paraId="05C321D2">
      <w:pPr>
        <w:snapToGrid w:val="0"/>
        <w:jc w:val="center"/>
        <w:rPr>
          <w:rFonts w:eastAsia="方正仿宋_GBK"/>
          <w:sz w:val="32"/>
        </w:rPr>
      </w:pPr>
    </w:p>
    <w:p w14:paraId="115CAAAA">
      <w:pPr>
        <w:pStyle w:val="2"/>
      </w:pPr>
    </w:p>
    <w:p w14:paraId="46719797">
      <w:pPr>
        <w:pStyle w:val="3"/>
      </w:pPr>
    </w:p>
    <w:p w14:paraId="04A66923">
      <w:pPr>
        <w:pStyle w:val="3"/>
      </w:pPr>
    </w:p>
    <w:p w14:paraId="5E830023">
      <w:pPr>
        <w:pStyle w:val="3"/>
      </w:pPr>
    </w:p>
    <w:p w14:paraId="5829E1FB">
      <w:pPr>
        <w:snapToGrid w:val="0"/>
        <w:spacing w:line="590" w:lineRule="exact"/>
        <w:jc w:val="center"/>
        <w:rPr>
          <w:rFonts w:ascii="方正小标宋_GBK" w:eastAsia="方正小标宋_GBK"/>
          <w:sz w:val="44"/>
          <w:szCs w:val="44"/>
        </w:rPr>
      </w:pPr>
      <w:r>
        <w:rPr>
          <w:rFonts w:hint="eastAsia" w:ascii="方正小标宋_GBK" w:eastAsia="方正小标宋_GBK"/>
          <w:sz w:val="44"/>
          <w:szCs w:val="44"/>
        </w:rPr>
        <w:t>关于报送2025年度全市律师、公证员专业</w:t>
      </w:r>
    </w:p>
    <w:p w14:paraId="6865B898">
      <w:pPr>
        <w:snapToGrid w:val="0"/>
        <w:spacing w:line="590" w:lineRule="exact"/>
        <w:jc w:val="center"/>
        <w:rPr>
          <w:rFonts w:ascii="方正小标宋_GBK" w:eastAsia="方正小标宋_GBK"/>
          <w:sz w:val="44"/>
          <w:szCs w:val="44"/>
        </w:rPr>
      </w:pPr>
      <w:r>
        <w:rPr>
          <w:rFonts w:hint="eastAsia" w:ascii="方正小标宋_GBK" w:eastAsia="方正小标宋_GBK"/>
          <w:sz w:val="44"/>
          <w:szCs w:val="44"/>
        </w:rPr>
        <w:t>高级和司法鉴定人专业职称评审材料的通知</w:t>
      </w:r>
    </w:p>
    <w:p w14:paraId="180B9498">
      <w:pPr>
        <w:snapToGrid w:val="0"/>
        <w:spacing w:line="590" w:lineRule="exact"/>
        <w:rPr>
          <w:rFonts w:eastAsia="方正仿宋_GBK"/>
          <w:color w:val="000000"/>
          <w:sz w:val="32"/>
          <w:szCs w:val="32"/>
        </w:rPr>
      </w:pPr>
    </w:p>
    <w:p w14:paraId="1F9837BB">
      <w:pPr>
        <w:snapToGrid w:val="0"/>
        <w:spacing w:line="590" w:lineRule="exact"/>
        <w:rPr>
          <w:rFonts w:eastAsia="方正仿宋_GBK"/>
          <w:kern w:val="0"/>
          <w:sz w:val="32"/>
          <w:szCs w:val="32"/>
        </w:rPr>
      </w:pPr>
      <w:r>
        <w:rPr>
          <w:rFonts w:eastAsia="方正仿宋_GBK"/>
          <w:kern w:val="0"/>
          <w:sz w:val="32"/>
          <w:szCs w:val="32"/>
        </w:rPr>
        <w:t>各县（市、区）司法局，市律师协会，市公证协会，市司法鉴定协会：</w:t>
      </w:r>
    </w:p>
    <w:p w14:paraId="13DABCBC">
      <w:pPr>
        <w:snapToGrid w:val="0"/>
        <w:spacing w:line="590" w:lineRule="exact"/>
        <w:ind w:firstLine="640" w:firstLineChars="200"/>
        <w:rPr>
          <w:rFonts w:eastAsia="方正仿宋_GBK"/>
          <w:kern w:val="0"/>
          <w:sz w:val="32"/>
          <w:szCs w:val="32"/>
        </w:rPr>
      </w:pPr>
      <w:r>
        <w:rPr>
          <w:rFonts w:eastAsia="方正仿宋_GBK"/>
          <w:kern w:val="0"/>
          <w:sz w:val="32"/>
          <w:szCs w:val="32"/>
        </w:rPr>
        <w:t>根据《省人力资源社会保障厅关于做好2025年度职称评审工作的通知》（苏人社职〔2025〕4号）和江苏省司法厅专业技术职称工作领导小组办公室《关于报送2025年度全省律师、公证员、司法鉴定人专业高级职称评审材料的通知》（苏司职称办〔2025〕1号）精神，现就做好2025年度全市律师、公证员专业高级和司法鉴定人专业职称评审工作有关事项通知如下：</w:t>
      </w:r>
    </w:p>
    <w:p w14:paraId="7D7D11C9">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黑体_GBK" w:cs="Times New Roman"/>
          <w:sz w:val="32"/>
          <w:szCs w:val="32"/>
        </w:rPr>
      </w:pPr>
      <w:r>
        <w:rPr>
          <w:rFonts w:ascii="Times New Roman" w:eastAsia="方正黑体_GBK" w:cs="Times New Roman"/>
          <w:sz w:val="32"/>
          <w:szCs w:val="32"/>
        </w:rPr>
        <w:t>一、申报评审范围和对象</w:t>
      </w:r>
    </w:p>
    <w:p w14:paraId="44EAE2F8">
      <w:pPr>
        <w:snapToGrid w:val="0"/>
        <w:spacing w:line="590" w:lineRule="exact"/>
        <w:ind w:firstLine="640" w:firstLineChars="200"/>
        <w:rPr>
          <w:rFonts w:eastAsia="方正仿宋_GBK"/>
          <w:kern w:val="0"/>
          <w:sz w:val="32"/>
          <w:szCs w:val="32"/>
        </w:rPr>
      </w:pPr>
      <w:r>
        <w:rPr>
          <w:rFonts w:eastAsia="方正仿宋_GBK"/>
          <w:kern w:val="0"/>
          <w:sz w:val="32"/>
          <w:szCs w:val="32"/>
        </w:rPr>
        <w:t>（一）申报律师专业高级职称的评审范围为已取得律师执业资格，并在我市各律师事务所以及企事业单位中专职从事律师业务工作，与用人单位签订劳动（聘用）合同的专职律师、法律援助律师、公司（公职）律师。</w:t>
      </w:r>
    </w:p>
    <w:p w14:paraId="4BE3BB18">
      <w:pPr>
        <w:snapToGrid w:val="0"/>
        <w:spacing w:line="590" w:lineRule="exact"/>
        <w:ind w:firstLine="640" w:firstLineChars="200"/>
        <w:rPr>
          <w:rFonts w:eastAsia="方正仿宋_GBK"/>
          <w:kern w:val="0"/>
          <w:sz w:val="32"/>
          <w:szCs w:val="32"/>
        </w:rPr>
      </w:pPr>
      <w:r>
        <w:rPr>
          <w:rFonts w:eastAsia="方正仿宋_GBK"/>
          <w:kern w:val="0"/>
          <w:sz w:val="32"/>
          <w:szCs w:val="32"/>
        </w:rPr>
        <w:t>（二）申报公证员专业高级职称的评审范围为已取得公证员执业资格，并在我市各公证处中专职从事公证业务或公证管理工作，与用人单位签订劳动（聘用）合同的专业技术人员。</w:t>
      </w:r>
    </w:p>
    <w:p w14:paraId="3B0E91B6">
      <w:pPr>
        <w:snapToGrid w:val="0"/>
        <w:spacing w:line="590" w:lineRule="exact"/>
        <w:ind w:firstLine="640" w:firstLineChars="200"/>
        <w:rPr>
          <w:rFonts w:eastAsia="方正仿宋_GBK"/>
          <w:kern w:val="0"/>
          <w:sz w:val="32"/>
          <w:szCs w:val="32"/>
        </w:rPr>
      </w:pPr>
      <w:r>
        <w:rPr>
          <w:rFonts w:eastAsia="方正仿宋_GBK"/>
          <w:kern w:val="0"/>
          <w:sz w:val="32"/>
          <w:szCs w:val="32"/>
        </w:rPr>
        <w:t>（三）申报司法鉴定人专业职称的评审范围为已取得司法鉴定人执业资格，并在我市各司法鉴定机构中从事司法鉴定业务，与用人单位签订劳动（聘用）合同的专业技术人员。</w:t>
      </w:r>
    </w:p>
    <w:p w14:paraId="00829984">
      <w:pPr>
        <w:snapToGrid w:val="0"/>
        <w:spacing w:line="590" w:lineRule="exact"/>
        <w:ind w:firstLine="640" w:firstLineChars="200"/>
        <w:rPr>
          <w:rFonts w:eastAsia="方正仿宋_GBK"/>
          <w:kern w:val="0"/>
          <w:sz w:val="32"/>
          <w:szCs w:val="32"/>
        </w:rPr>
      </w:pPr>
      <w:r>
        <w:rPr>
          <w:rFonts w:eastAsia="方正仿宋_GBK"/>
          <w:kern w:val="0"/>
          <w:sz w:val="32"/>
          <w:szCs w:val="32"/>
        </w:rPr>
        <w:t>（四）公务员（含列入参照公务员法管理单位的工作人员）、离退休人员不得申报职称评审。受到党纪、政务、行政处分的人员，在影响期内不得申报职称评审。</w:t>
      </w:r>
    </w:p>
    <w:p w14:paraId="3F3CCF6E">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黑体_GBK" w:cs="Times New Roman"/>
          <w:sz w:val="32"/>
          <w:szCs w:val="32"/>
        </w:rPr>
      </w:pPr>
      <w:r>
        <w:rPr>
          <w:rFonts w:ascii="Times New Roman" w:eastAsia="方正黑体_GBK" w:cs="Times New Roman"/>
          <w:sz w:val="32"/>
          <w:szCs w:val="32"/>
        </w:rPr>
        <w:t>二、申报评审条件和政策</w:t>
      </w:r>
    </w:p>
    <w:p w14:paraId="46619E12">
      <w:pPr>
        <w:snapToGrid w:val="0"/>
        <w:spacing w:line="590" w:lineRule="exact"/>
        <w:ind w:firstLine="640" w:firstLineChars="200"/>
        <w:rPr>
          <w:rFonts w:eastAsia="方正楷体_GBK"/>
          <w:sz w:val="32"/>
          <w:szCs w:val="32"/>
        </w:rPr>
      </w:pPr>
      <w:r>
        <w:rPr>
          <w:rFonts w:eastAsia="方正楷体_GBK"/>
          <w:sz w:val="32"/>
          <w:szCs w:val="32"/>
        </w:rPr>
        <w:t>（一）资格条件</w:t>
      </w:r>
    </w:p>
    <w:p w14:paraId="3CDA3959">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1．申报律师专业高级职称按照2003年下发的《江苏省律师专业一级律师资格条件（试行）》《江苏省律师专业二级律师资格条件（试行）》及《附录》要求办理，其中有关学历、资历要求按以下口径执行：</w:t>
      </w:r>
    </w:p>
    <w:p w14:paraId="01B0B323">
      <w:pPr>
        <w:snapToGrid w:val="0"/>
        <w:spacing w:line="590" w:lineRule="exact"/>
        <w:ind w:firstLine="640" w:firstLineChars="200"/>
        <w:rPr>
          <w:rFonts w:eastAsia="方正仿宋_GBK"/>
          <w:sz w:val="32"/>
          <w:szCs w:val="32"/>
        </w:rPr>
      </w:pPr>
      <w:r>
        <w:rPr>
          <w:rFonts w:eastAsia="方正仿宋_GBK"/>
          <w:kern w:val="0"/>
          <w:sz w:val="32"/>
          <w:szCs w:val="32"/>
        </w:rPr>
        <w:t>申报一级律师职称的，需取得二级律师职称后，从事本专业工作5年以上。申报二级律师职称的，需满足下列条件之一：获得博士学位，取得三级律师职称后，从事本专业工作2年以上；获得研究生学历或硕士学位，取得三级律师职称后，从事本专业工作4年以上；获得大学本科学历或学士学位，取得三级律师职称后，从事本专业工作5年以上。</w:t>
      </w:r>
      <w:r>
        <w:rPr>
          <w:rFonts w:eastAsia="方正仿宋_GBK"/>
          <w:sz w:val="32"/>
          <w:szCs w:val="32"/>
        </w:rPr>
        <w:t>申报法律援助律师、公司（公职）律师的，参照上述文件和口径执行。</w:t>
      </w:r>
    </w:p>
    <w:p w14:paraId="460C5EA9">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2．申报公证员专业高级职称按照《江苏省公证员专业技术资格条件（试行）》（苏职称〔2021〕59号）文件规定执行。</w:t>
      </w:r>
    </w:p>
    <w:p w14:paraId="714C9D8C">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3．申报司法鉴定人专业职称按照《江苏省司法鉴定人专业技术资格条件（试行）》（苏职称〔2023〕48号）文件规定执行。</w:t>
      </w:r>
    </w:p>
    <w:p w14:paraId="692626CE">
      <w:pPr>
        <w:snapToGrid w:val="0"/>
        <w:spacing w:line="590" w:lineRule="exact"/>
        <w:ind w:firstLine="640" w:firstLineChars="200"/>
        <w:rPr>
          <w:rFonts w:eastAsia="方正楷体_GBK"/>
          <w:sz w:val="32"/>
          <w:szCs w:val="32"/>
        </w:rPr>
      </w:pPr>
      <w:r>
        <w:rPr>
          <w:rFonts w:eastAsia="方正楷体_GBK"/>
          <w:sz w:val="32"/>
          <w:szCs w:val="32"/>
        </w:rPr>
        <w:t>（二）有关政策</w:t>
      </w:r>
    </w:p>
    <w:p w14:paraId="18C0C887">
      <w:pPr>
        <w:snapToGrid w:val="0"/>
        <w:spacing w:line="590" w:lineRule="exact"/>
        <w:ind w:firstLine="640" w:firstLineChars="200"/>
        <w:rPr>
          <w:rFonts w:eastAsia="方正仿宋_GBK"/>
          <w:kern w:val="0"/>
          <w:sz w:val="32"/>
          <w:szCs w:val="32"/>
        </w:rPr>
      </w:pPr>
      <w:r>
        <w:rPr>
          <w:rFonts w:eastAsia="方正仿宋_GBK"/>
          <w:kern w:val="0"/>
          <w:sz w:val="32"/>
          <w:szCs w:val="32"/>
        </w:rPr>
        <w:t>1．申报人申报职称的资历（任职年限）截止时间为2024年12月31日，申报职称的业绩成果、论文、学历（学位）等截止时间为2025年3月31日。</w:t>
      </w:r>
    </w:p>
    <w:p w14:paraId="45F55EB8">
      <w:pPr>
        <w:snapToGrid w:val="0"/>
        <w:spacing w:line="590" w:lineRule="exact"/>
        <w:ind w:firstLine="640" w:firstLineChars="200"/>
        <w:rPr>
          <w:rFonts w:eastAsia="方正仿宋_GBK"/>
          <w:kern w:val="0"/>
          <w:sz w:val="32"/>
          <w:szCs w:val="32"/>
        </w:rPr>
      </w:pPr>
      <w:r>
        <w:rPr>
          <w:rFonts w:eastAsia="方正仿宋_GBK"/>
          <w:kern w:val="0"/>
          <w:sz w:val="32"/>
          <w:szCs w:val="32"/>
        </w:rPr>
        <w:t>2．申报人提供的业绩成果（荣誉称号、表彰奖励）证书和论文、著作，需与申报人自身专业理论或实务相关，否则不予认定。在报送业绩成果材料时需同步提供相应省、设区市相关行业协会出具的认定文书及相关材料。</w:t>
      </w:r>
    </w:p>
    <w:p w14:paraId="4C9EEDA1">
      <w:pPr>
        <w:snapToGrid w:val="0"/>
        <w:spacing w:line="590" w:lineRule="exact"/>
        <w:ind w:firstLine="640" w:firstLineChars="200"/>
        <w:rPr>
          <w:rFonts w:eastAsia="方正仿宋_GBK"/>
          <w:kern w:val="0"/>
          <w:sz w:val="32"/>
          <w:szCs w:val="32"/>
        </w:rPr>
      </w:pPr>
      <w:r>
        <w:rPr>
          <w:rFonts w:eastAsia="方正仿宋_GBK"/>
          <w:kern w:val="0"/>
          <w:sz w:val="32"/>
          <w:szCs w:val="32"/>
        </w:rPr>
        <w:t>3．根据省人力资源社会保障厅《关于调整我省职称外语和计算机应用能力政策有关问题的通知》（苏人社发〔2016〕356号）精神，职称外语和计算机应用能力不作为申报职称评审的必备条件，仅作为评审时的参考因素，申报时可不提交相应材料。</w:t>
      </w:r>
    </w:p>
    <w:p w14:paraId="7D7711AB">
      <w:pPr>
        <w:snapToGrid w:val="0"/>
        <w:spacing w:line="590" w:lineRule="exact"/>
        <w:ind w:firstLine="640" w:firstLineChars="200"/>
        <w:rPr>
          <w:rFonts w:eastAsia="方正仿宋_GBK"/>
          <w:kern w:val="0"/>
          <w:sz w:val="32"/>
          <w:szCs w:val="32"/>
        </w:rPr>
      </w:pPr>
      <w:r>
        <w:rPr>
          <w:rFonts w:eastAsia="方正仿宋_GBK"/>
          <w:kern w:val="0"/>
          <w:sz w:val="32"/>
          <w:szCs w:val="32"/>
        </w:rPr>
        <w:t>4．其他相关职称系列转评律师、公证员专业高级职称的，须同时具备下列条件：</w:t>
      </w:r>
      <w:r>
        <w:rPr>
          <w:rFonts w:hint="eastAsia" w:ascii="宋体" w:hAnsi="宋体" w:cs="宋体"/>
          <w:kern w:val="0"/>
          <w:sz w:val="32"/>
          <w:szCs w:val="32"/>
        </w:rPr>
        <w:t>①</w:t>
      </w:r>
      <w:r>
        <w:rPr>
          <w:rFonts w:eastAsia="方正仿宋_GBK"/>
          <w:kern w:val="0"/>
          <w:sz w:val="32"/>
          <w:szCs w:val="32"/>
        </w:rPr>
        <w:t>具有律师、公证员资格；</w:t>
      </w:r>
      <w:r>
        <w:rPr>
          <w:rFonts w:hint="eastAsia" w:ascii="宋体" w:hAnsi="宋体" w:cs="宋体"/>
          <w:kern w:val="0"/>
          <w:sz w:val="32"/>
          <w:szCs w:val="32"/>
        </w:rPr>
        <w:t>②</w:t>
      </w:r>
      <w:r>
        <w:rPr>
          <w:rFonts w:eastAsia="方正仿宋_GBK"/>
          <w:kern w:val="0"/>
          <w:sz w:val="32"/>
          <w:szCs w:val="32"/>
        </w:rPr>
        <w:t>具有相应系列同职务层次的职称；</w:t>
      </w:r>
      <w:r>
        <w:rPr>
          <w:rFonts w:hint="eastAsia" w:ascii="宋体" w:hAnsi="宋体" w:cs="宋体"/>
          <w:kern w:val="0"/>
          <w:sz w:val="32"/>
          <w:szCs w:val="32"/>
        </w:rPr>
        <w:t>③</w:t>
      </w:r>
      <w:r>
        <w:rPr>
          <w:rFonts w:eastAsia="方正仿宋_GBK"/>
          <w:kern w:val="0"/>
          <w:sz w:val="32"/>
          <w:szCs w:val="32"/>
        </w:rPr>
        <w:t>原工作单位已离职，专职从事律师或公证员1年以上。转评后工作满1年以上，符合条件的，可申报高一级职称，原专业工作年限连续计算。其他相关职称系列转评司法鉴定人专业中高级职称的，对照《江苏省司法鉴定人专业技术资格条件（试行）》中明确的学历、资历条件执行。</w:t>
      </w:r>
    </w:p>
    <w:p w14:paraId="5F6724F4">
      <w:pPr>
        <w:snapToGrid w:val="0"/>
        <w:spacing w:line="590" w:lineRule="exact"/>
        <w:ind w:firstLine="640" w:firstLineChars="200"/>
        <w:rPr>
          <w:rFonts w:eastAsia="方正仿宋_GBK"/>
          <w:kern w:val="0"/>
          <w:sz w:val="32"/>
          <w:szCs w:val="32"/>
        </w:rPr>
      </w:pPr>
      <w:r>
        <w:rPr>
          <w:rFonts w:eastAsia="方正仿宋_GBK"/>
          <w:kern w:val="0"/>
          <w:sz w:val="32"/>
          <w:szCs w:val="32"/>
        </w:rPr>
        <w:t>5．海外归国人员、党政机关交流或部队转业安置到企事业单位从事专业技术工作的人员，首次申报职称时可根据专业水平和工作业绩并参照同类人员评审标准，直接申报相应职称。</w:t>
      </w:r>
    </w:p>
    <w:p w14:paraId="697BF493">
      <w:pPr>
        <w:snapToGrid w:val="0"/>
        <w:spacing w:line="590" w:lineRule="exact"/>
        <w:ind w:firstLine="640" w:firstLineChars="200"/>
        <w:rPr>
          <w:rFonts w:eastAsia="方正仿宋_GBK"/>
          <w:kern w:val="0"/>
          <w:sz w:val="32"/>
          <w:szCs w:val="32"/>
        </w:rPr>
      </w:pPr>
      <w:r>
        <w:rPr>
          <w:rFonts w:eastAsia="方正仿宋_GBK"/>
          <w:kern w:val="0"/>
          <w:sz w:val="32"/>
          <w:szCs w:val="32"/>
        </w:rPr>
        <w:t>6．继续教育情况列为专业技术人才职称晋升的重要条件，按照相关政策规定，专业技术人员参加继续教育的时间，每年累计应不少于 90 学时。其中，公需课不少于24学时，专业科目一般不少于总学时的 2/3。继续教育学时计算和公需课实施办法参照《关于南通市专业技术人员继续教育实施办法有关问题的通知》（通职称办〔2021〕24号）执行。</w:t>
      </w:r>
    </w:p>
    <w:p w14:paraId="66A635B3">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黑体_GBK" w:cs="Times New Roman"/>
          <w:sz w:val="32"/>
          <w:szCs w:val="32"/>
        </w:rPr>
      </w:pPr>
      <w:r>
        <w:rPr>
          <w:rFonts w:ascii="Times New Roman" w:eastAsia="方正黑体_GBK" w:cs="Times New Roman"/>
          <w:sz w:val="32"/>
          <w:szCs w:val="32"/>
        </w:rPr>
        <w:t xml:space="preserve">三、申报方式及申报材料要求 </w:t>
      </w:r>
    </w:p>
    <w:p w14:paraId="44FBA563">
      <w:pPr>
        <w:snapToGrid w:val="0"/>
        <w:spacing w:line="590" w:lineRule="exact"/>
        <w:ind w:firstLine="640" w:firstLineChars="200"/>
        <w:rPr>
          <w:rFonts w:eastAsia="方正楷体_GBK"/>
          <w:sz w:val="32"/>
          <w:szCs w:val="32"/>
        </w:rPr>
      </w:pPr>
      <w:r>
        <w:rPr>
          <w:rFonts w:eastAsia="方正楷体_GBK"/>
          <w:sz w:val="32"/>
          <w:szCs w:val="32"/>
        </w:rPr>
        <w:t>（一）申报方式</w:t>
      </w:r>
    </w:p>
    <w:p w14:paraId="0D7E39A7">
      <w:pPr>
        <w:snapToGrid w:val="0"/>
        <w:spacing w:line="590" w:lineRule="exact"/>
        <w:ind w:firstLine="640" w:firstLineChars="200"/>
        <w:rPr>
          <w:rFonts w:eastAsia="方正仿宋_GBK"/>
          <w:kern w:val="0"/>
          <w:sz w:val="32"/>
          <w:szCs w:val="32"/>
        </w:rPr>
      </w:pPr>
      <w:r>
        <w:rPr>
          <w:rFonts w:eastAsia="方正仿宋_GBK"/>
          <w:kern w:val="0"/>
          <w:sz w:val="32"/>
          <w:szCs w:val="32"/>
        </w:rPr>
        <w:t>申报人应当按照属地管理和个人自愿原则，按规定程序逐级报送相应评审委员会办事机构，申报人同一年度原则上只能向一个评审委员会申报职称评审，同一单位申报相同职称系列（专业）相同层级的人员应统一报送同一评审委员会，不得多头报送。</w:t>
      </w:r>
    </w:p>
    <w:p w14:paraId="115142E2">
      <w:pPr>
        <w:snapToGrid w:val="0"/>
        <w:spacing w:line="590" w:lineRule="exact"/>
        <w:ind w:firstLine="640" w:firstLineChars="200"/>
        <w:rPr>
          <w:rFonts w:eastAsia="方正仿宋_GBK"/>
          <w:kern w:val="0"/>
          <w:sz w:val="32"/>
          <w:szCs w:val="32"/>
        </w:rPr>
      </w:pPr>
      <w:r>
        <w:rPr>
          <w:rFonts w:eastAsia="方正仿宋_GBK"/>
          <w:kern w:val="0"/>
          <w:sz w:val="32"/>
          <w:szCs w:val="32"/>
        </w:rPr>
        <w:t>本年度全省律师、公证员专业高级和司法鉴定人专业职称采取网上申报、原件审核、无纸化评审的方式。申报人员应实名登录江苏人才服务云平台（https://</w:t>
      </w:r>
      <w:r>
        <w:fldChar w:fldCharType="begin"/>
      </w:r>
      <w:r>
        <w:instrText xml:space="preserve"> HYPERLINK "http://www.jsrcxxg.com/" </w:instrText>
      </w:r>
      <w:r>
        <w:fldChar w:fldCharType="separate"/>
      </w:r>
      <w:r>
        <w:rPr>
          <w:rFonts w:eastAsia="方正仿宋_GBK"/>
          <w:kern w:val="0"/>
          <w:sz w:val="32"/>
          <w:szCs w:val="32"/>
        </w:rPr>
        <w:t>www.jssrcfwypt.org.cn</w:t>
      </w:r>
      <w:r>
        <w:rPr>
          <w:rFonts w:eastAsia="方正仿宋_GBK"/>
          <w:kern w:val="0"/>
          <w:sz w:val="32"/>
          <w:szCs w:val="32"/>
        </w:rPr>
        <w:fldChar w:fldCharType="end"/>
      </w:r>
      <w:r>
        <w:rPr>
          <w:rFonts w:eastAsia="方正仿宋_GBK"/>
          <w:kern w:val="0"/>
          <w:sz w:val="32"/>
          <w:szCs w:val="32"/>
        </w:rPr>
        <w:t>）职称专栏，申报评审律师、公证员专业高级和司法鉴定人专业高（中）级职称的点选“职称评审申报”入口，申报初定司法鉴定人专业初级职称的点选“职称初定申报”入口，在线如实填报相关信息，并按规定</w:t>
      </w:r>
      <w:r>
        <w:rPr>
          <w:rFonts w:eastAsia="方正仿宋_GBK"/>
          <w:sz w:val="32"/>
          <w:szCs w:val="32"/>
        </w:rPr>
        <w:t>于2025年8月10日前</w:t>
      </w:r>
      <w:r>
        <w:rPr>
          <w:rFonts w:eastAsia="方正仿宋_GBK"/>
          <w:kern w:val="0"/>
          <w:sz w:val="32"/>
          <w:szCs w:val="32"/>
        </w:rPr>
        <w:t>将有关申报材料原件报送至各设区市司法局接受现场审核（审核后原件退回），同步提交相关纸质和电子材料。</w:t>
      </w:r>
    </w:p>
    <w:p w14:paraId="38F56181">
      <w:pPr>
        <w:snapToGrid w:val="0"/>
        <w:spacing w:line="590" w:lineRule="exact"/>
        <w:ind w:firstLine="640" w:firstLineChars="200"/>
        <w:rPr>
          <w:rFonts w:eastAsia="方正楷体_GBK"/>
          <w:sz w:val="32"/>
          <w:szCs w:val="32"/>
        </w:rPr>
      </w:pPr>
      <w:r>
        <w:rPr>
          <w:rFonts w:eastAsia="方正楷体_GBK"/>
          <w:sz w:val="32"/>
          <w:szCs w:val="32"/>
        </w:rPr>
        <w:t>（二）材料提交要求</w:t>
      </w:r>
    </w:p>
    <w:p w14:paraId="6CE5B634">
      <w:pPr>
        <w:pStyle w:val="8"/>
        <w:widowControl w:val="0"/>
        <w:shd w:val="clear" w:color="auto" w:fill="FFFFFF"/>
        <w:snapToGrid w:val="0"/>
        <w:spacing w:before="0" w:beforeAutospacing="0" w:after="0" w:afterAutospacing="0" w:line="590" w:lineRule="exact"/>
        <w:ind w:firstLine="643" w:firstLineChars="200"/>
        <w:jc w:val="both"/>
        <w:rPr>
          <w:rFonts w:ascii="Times New Roman" w:eastAsia="方正仿宋_GBK" w:cs="Times New Roman"/>
          <w:b/>
          <w:sz w:val="32"/>
          <w:szCs w:val="32"/>
        </w:rPr>
      </w:pPr>
      <w:r>
        <w:rPr>
          <w:rFonts w:ascii="Times New Roman" w:eastAsia="方正仿宋_GBK" w:cs="Times New Roman"/>
          <w:b/>
          <w:sz w:val="32"/>
          <w:szCs w:val="32"/>
        </w:rPr>
        <w:t>律师、公证员专业高级和司法鉴定人专业高（中）级</w:t>
      </w:r>
    </w:p>
    <w:p w14:paraId="20E06EA2">
      <w:pPr>
        <w:pStyle w:val="8"/>
        <w:widowControl w:val="0"/>
        <w:shd w:val="clear" w:color="auto" w:fill="FFFFFF"/>
        <w:snapToGrid w:val="0"/>
        <w:spacing w:before="0" w:beforeAutospacing="0" w:after="0" w:afterAutospacing="0" w:line="590" w:lineRule="exact"/>
        <w:ind w:firstLine="643" w:firstLineChars="200"/>
        <w:jc w:val="both"/>
        <w:rPr>
          <w:rFonts w:ascii="Times New Roman" w:eastAsia="方正仿宋_GBK" w:cs="Times New Roman"/>
          <w:b/>
          <w:bCs/>
          <w:sz w:val="32"/>
          <w:szCs w:val="32"/>
        </w:rPr>
      </w:pPr>
      <w:r>
        <w:rPr>
          <w:rFonts w:ascii="Times New Roman" w:eastAsia="方正仿宋_GBK" w:cs="Times New Roman"/>
          <w:b/>
          <w:bCs/>
          <w:sz w:val="32"/>
          <w:szCs w:val="32"/>
        </w:rPr>
        <w:t>原件材料：</w:t>
      </w:r>
    </w:p>
    <w:p w14:paraId="487C3D44">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1．申报人执业证书。</w:t>
      </w:r>
    </w:p>
    <w:p w14:paraId="4E7B6325">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2．申报人现取得最高学历、学位证书。</w:t>
      </w:r>
    </w:p>
    <w:p w14:paraId="2F51C405">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3．申报人现取得职称资格证书。</w:t>
      </w:r>
    </w:p>
    <w:p w14:paraId="188FD866">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4．申报人取得现职称以来的年度考核材料。</w:t>
      </w:r>
    </w:p>
    <w:p w14:paraId="489FAAE2">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5．申报人接受继续教育证明材料。</w:t>
      </w:r>
    </w:p>
    <w:p w14:paraId="63F98485">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6．申报人主要业绩成果证明、证书。</w:t>
      </w:r>
    </w:p>
    <w:p w14:paraId="2F739594">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7．申报人论文、论著。</w:t>
      </w:r>
    </w:p>
    <w:p w14:paraId="3C098324">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8．申报人业务卷宗。</w:t>
      </w:r>
    </w:p>
    <w:p w14:paraId="556A5DC0">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9．其他需要提供的原件材料。</w:t>
      </w:r>
    </w:p>
    <w:p w14:paraId="2375D98B">
      <w:pPr>
        <w:pStyle w:val="8"/>
        <w:widowControl w:val="0"/>
        <w:shd w:val="clear" w:color="auto" w:fill="FFFFFF"/>
        <w:snapToGrid w:val="0"/>
        <w:spacing w:before="0" w:beforeAutospacing="0" w:after="0" w:afterAutospacing="0" w:line="590" w:lineRule="exact"/>
        <w:ind w:firstLine="643" w:firstLineChars="200"/>
        <w:jc w:val="both"/>
        <w:rPr>
          <w:rFonts w:ascii="Times New Roman" w:eastAsia="方正仿宋_GBK" w:cs="Times New Roman"/>
          <w:b/>
          <w:bCs/>
          <w:sz w:val="32"/>
          <w:szCs w:val="32"/>
        </w:rPr>
      </w:pPr>
      <w:r>
        <w:rPr>
          <w:rFonts w:ascii="Times New Roman" w:eastAsia="方正仿宋_GBK" w:cs="Times New Roman"/>
          <w:b/>
          <w:bCs/>
          <w:sz w:val="32"/>
          <w:szCs w:val="32"/>
        </w:rPr>
        <w:t>纸质材料：</w:t>
      </w:r>
    </w:p>
    <w:p w14:paraId="1D40F883">
      <w:pPr>
        <w:snapToGrid w:val="0"/>
        <w:spacing w:line="590" w:lineRule="exact"/>
        <w:ind w:firstLine="640" w:firstLineChars="200"/>
        <w:rPr>
          <w:rFonts w:eastAsia="方正仿宋_GBK"/>
          <w:kern w:val="0"/>
          <w:sz w:val="32"/>
          <w:szCs w:val="32"/>
        </w:rPr>
      </w:pPr>
      <w:r>
        <w:rPr>
          <w:rFonts w:eastAsia="方正仿宋_GBK"/>
          <w:kern w:val="0"/>
          <w:sz w:val="32"/>
          <w:szCs w:val="32"/>
        </w:rPr>
        <w:t>1</w:t>
      </w:r>
      <w:r>
        <w:rPr>
          <w:rFonts w:eastAsia="方正仿宋_GBK"/>
          <w:kern w:val="0"/>
          <w:szCs w:val="32"/>
        </w:rPr>
        <w:t>．</w:t>
      </w:r>
      <w:r>
        <w:rPr>
          <w:rFonts w:eastAsia="方正仿宋_GBK"/>
          <w:kern w:val="0"/>
          <w:sz w:val="32"/>
          <w:szCs w:val="32"/>
        </w:rPr>
        <w:t>《专业技术资格评审申报表》3份，审核通过后通过系统下载，用 A3 纸双面打印，对折后用骑马订方式装订，按要求审核签章。</w:t>
      </w:r>
    </w:p>
    <w:p w14:paraId="6E01B8B0">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2．《申报资格人员情况简介表》1 份，内容控制在1页内，用 A3 纸单面打印，在单位公示后，加盖所在单位公章。</w:t>
      </w:r>
    </w:p>
    <w:p w14:paraId="2561D345">
      <w:pPr>
        <w:autoSpaceDE w:val="0"/>
        <w:autoSpaceDN w:val="0"/>
        <w:snapToGrid w:val="0"/>
        <w:spacing w:line="590" w:lineRule="exact"/>
        <w:ind w:firstLine="643" w:firstLineChars="200"/>
        <w:rPr>
          <w:rFonts w:eastAsia="方正仿宋_GBK"/>
          <w:b/>
          <w:bCs/>
          <w:kern w:val="0"/>
          <w:sz w:val="32"/>
          <w:szCs w:val="32"/>
        </w:rPr>
      </w:pPr>
      <w:r>
        <w:rPr>
          <w:rFonts w:eastAsia="方正仿宋_GBK"/>
          <w:b/>
          <w:bCs/>
          <w:kern w:val="0"/>
          <w:sz w:val="32"/>
          <w:szCs w:val="32"/>
        </w:rPr>
        <w:t>电子材料：</w:t>
      </w:r>
    </w:p>
    <w:p w14:paraId="1CC6355E">
      <w:pPr>
        <w:snapToGrid w:val="0"/>
        <w:spacing w:line="590" w:lineRule="exact"/>
        <w:ind w:firstLine="640" w:firstLineChars="200"/>
        <w:rPr>
          <w:rFonts w:eastAsia="方正仿宋_GBK"/>
          <w:kern w:val="0"/>
          <w:sz w:val="32"/>
          <w:szCs w:val="32"/>
        </w:rPr>
      </w:pPr>
      <w:r>
        <w:rPr>
          <w:rFonts w:eastAsia="方正仿宋_GBK"/>
          <w:kern w:val="0"/>
          <w:sz w:val="32"/>
          <w:szCs w:val="32"/>
        </w:rPr>
        <w:t>1</w:t>
      </w:r>
      <w:r>
        <w:rPr>
          <w:rFonts w:eastAsia="方正仿宋_GBK"/>
          <w:kern w:val="0"/>
          <w:szCs w:val="32"/>
        </w:rPr>
        <w:t>．</w:t>
      </w:r>
      <w:r>
        <w:rPr>
          <w:rFonts w:eastAsia="方正仿宋_GBK"/>
          <w:kern w:val="0"/>
          <w:sz w:val="32"/>
          <w:szCs w:val="32"/>
        </w:rPr>
        <w:t>登录江苏人才服务云平台，逐项填报相关信息，按要求上传清晰、完整的扫描件。其中，工作业绩、学术成果等填报范围为取得现职称以后至2025年3月31日前，超出范围不予认可。</w:t>
      </w:r>
    </w:p>
    <w:p w14:paraId="730E3281">
      <w:pPr>
        <w:snapToGrid w:val="0"/>
        <w:spacing w:line="590" w:lineRule="exact"/>
        <w:ind w:firstLine="640" w:firstLineChars="200"/>
        <w:rPr>
          <w:rFonts w:eastAsia="方正仿宋_GBK"/>
          <w:kern w:val="0"/>
          <w:sz w:val="32"/>
          <w:szCs w:val="32"/>
        </w:rPr>
      </w:pPr>
      <w:r>
        <w:rPr>
          <w:rFonts w:eastAsia="方正仿宋_GBK"/>
          <w:kern w:val="0"/>
          <w:sz w:val="32"/>
          <w:szCs w:val="32"/>
        </w:rPr>
        <w:t>2</w:t>
      </w:r>
      <w:r>
        <w:rPr>
          <w:rFonts w:eastAsia="方正仿宋_GBK"/>
          <w:kern w:val="0"/>
          <w:szCs w:val="32"/>
        </w:rPr>
        <w:t>．</w:t>
      </w:r>
      <w:r>
        <w:rPr>
          <w:rFonts w:eastAsia="方正仿宋_GBK"/>
          <w:kern w:val="0"/>
          <w:sz w:val="32"/>
          <w:szCs w:val="32"/>
        </w:rPr>
        <w:t>因正规专业期刊应在国家新闻出版署备案登记，故在平台上传学术成果电子材料时，须提供国家新闻出版署官网查询结果截图，以及论文、论著的封面、目录、前言、有关编审人员的说明、文章全文或参与编写的主要章节等有关材料。</w:t>
      </w:r>
    </w:p>
    <w:p w14:paraId="6E199AD3">
      <w:pPr>
        <w:snapToGrid w:val="0"/>
        <w:spacing w:line="590" w:lineRule="exact"/>
        <w:ind w:firstLine="640" w:firstLineChars="200"/>
        <w:rPr>
          <w:rFonts w:eastAsia="方正仿宋_GBK"/>
          <w:sz w:val="32"/>
          <w:szCs w:val="32"/>
        </w:rPr>
      </w:pPr>
      <w:r>
        <w:rPr>
          <w:rFonts w:eastAsia="方正仿宋_GBK"/>
          <w:kern w:val="0"/>
          <w:sz w:val="32"/>
          <w:szCs w:val="32"/>
        </w:rPr>
        <w:t>3</w:t>
      </w:r>
      <w:r>
        <w:rPr>
          <w:rFonts w:eastAsia="方正仿宋_GBK"/>
          <w:kern w:val="0"/>
          <w:szCs w:val="32"/>
        </w:rPr>
        <w:t>．</w:t>
      </w:r>
      <w:r>
        <w:rPr>
          <w:rFonts w:eastAsia="方正仿宋_GBK"/>
          <w:kern w:val="0"/>
          <w:sz w:val="32"/>
          <w:szCs w:val="32"/>
        </w:rPr>
        <w:t>对照资格条件，按以下要求提供业务卷宗和相关证明材料，扫描后刻盘报送（光盘文件名：设区市+申报职称+姓名，如南京市二级律师张三）。证明材料需对扫描件和原件一致情况作出说明，并经本单位主要负责人审签后加盖公章，具体提交要求如下：</w:t>
      </w:r>
      <w:r>
        <w:rPr>
          <w:rFonts w:eastAsia="方正仿宋_GBK"/>
          <w:b/>
          <w:bCs/>
          <w:sz w:val="32"/>
          <w:szCs w:val="32"/>
        </w:rPr>
        <w:t>律师专业</w:t>
      </w:r>
      <w:r>
        <w:rPr>
          <w:rFonts w:eastAsia="方正仿宋_GBK"/>
          <w:sz w:val="32"/>
          <w:szCs w:val="32"/>
        </w:rPr>
        <w:t>择优提交3份律师业务卷宗和1份法律顾问卷宗。其中申报法律援助律师、公司（公职）律师的，择优提交业务卷宗4份。</w:t>
      </w:r>
      <w:r>
        <w:rPr>
          <w:rFonts w:eastAsia="方正仿宋_GBK"/>
          <w:b/>
          <w:bCs/>
          <w:sz w:val="32"/>
          <w:szCs w:val="32"/>
        </w:rPr>
        <w:t>公证员专业</w:t>
      </w:r>
      <w:r>
        <w:rPr>
          <w:rFonts w:eastAsia="方正仿宋_GBK"/>
          <w:sz w:val="32"/>
          <w:szCs w:val="32"/>
        </w:rPr>
        <w:t>择优提交不同类型4份国内公证业务卷宗，其中包括遗嘱卷宗和继承卷宗。</w:t>
      </w:r>
      <w:r>
        <w:rPr>
          <w:rFonts w:eastAsia="方正仿宋_GBK"/>
          <w:b/>
          <w:bCs/>
          <w:sz w:val="32"/>
          <w:szCs w:val="32"/>
        </w:rPr>
        <w:t>司法鉴定人专业</w:t>
      </w:r>
      <w:r>
        <w:rPr>
          <w:rFonts w:eastAsia="方正仿宋_GBK"/>
          <w:sz w:val="32"/>
          <w:szCs w:val="32"/>
        </w:rPr>
        <w:t>择优提交5份司法鉴定业务卷宗。</w:t>
      </w:r>
    </w:p>
    <w:p w14:paraId="1108C69C">
      <w:pPr>
        <w:pStyle w:val="8"/>
        <w:shd w:val="clear" w:color="auto" w:fill="FFFFFF"/>
        <w:snapToGrid w:val="0"/>
        <w:spacing w:before="0" w:beforeAutospacing="0" w:after="0" w:afterAutospacing="0" w:line="590" w:lineRule="exact"/>
        <w:ind w:firstLine="643" w:firstLineChars="200"/>
        <w:jc w:val="both"/>
        <w:rPr>
          <w:rFonts w:ascii="Times New Roman" w:eastAsia="方正仿宋_GBK" w:cs="Times New Roman"/>
          <w:b/>
          <w:sz w:val="32"/>
          <w:szCs w:val="32"/>
        </w:rPr>
      </w:pPr>
      <w:r>
        <w:rPr>
          <w:rFonts w:ascii="Times New Roman" w:eastAsia="方正仿宋_GBK" w:cs="Times New Roman"/>
          <w:b/>
          <w:sz w:val="32"/>
          <w:szCs w:val="32"/>
        </w:rPr>
        <w:t>司法鉴定人专业初级</w:t>
      </w:r>
    </w:p>
    <w:p w14:paraId="718726BD">
      <w:pPr>
        <w:pStyle w:val="8"/>
        <w:widowControl w:val="0"/>
        <w:shd w:val="clear" w:color="auto" w:fill="FFFFFF"/>
        <w:snapToGrid w:val="0"/>
        <w:spacing w:before="0" w:beforeAutospacing="0" w:after="0" w:afterAutospacing="0" w:line="590" w:lineRule="exact"/>
        <w:ind w:firstLine="643" w:firstLineChars="200"/>
        <w:jc w:val="both"/>
        <w:rPr>
          <w:rFonts w:ascii="Times New Roman" w:eastAsia="方正仿宋_GBK" w:cs="Times New Roman"/>
          <w:b/>
          <w:bCs/>
          <w:sz w:val="32"/>
          <w:szCs w:val="32"/>
        </w:rPr>
      </w:pPr>
      <w:r>
        <w:rPr>
          <w:rFonts w:ascii="Times New Roman" w:eastAsia="方正仿宋_GBK" w:cs="Times New Roman"/>
          <w:b/>
          <w:bCs/>
          <w:sz w:val="32"/>
          <w:szCs w:val="32"/>
        </w:rPr>
        <w:t>原件材料：</w:t>
      </w:r>
    </w:p>
    <w:p w14:paraId="37DE7253">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1．申报人执业证书。</w:t>
      </w:r>
    </w:p>
    <w:p w14:paraId="5BFA4E88">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2．申报人现取得最高学历、学位证书。</w:t>
      </w:r>
    </w:p>
    <w:p w14:paraId="5E92B5D1">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3．申报人执业以来的年度考核材料。</w:t>
      </w:r>
    </w:p>
    <w:p w14:paraId="164DF22B">
      <w:pPr>
        <w:pStyle w:val="8"/>
        <w:widowControl w:val="0"/>
        <w:shd w:val="clear" w:color="auto" w:fill="FFFFFF"/>
        <w:snapToGrid w:val="0"/>
        <w:spacing w:before="0" w:beforeAutospacing="0" w:after="0" w:afterAutospacing="0" w:line="590" w:lineRule="exact"/>
        <w:ind w:firstLine="643" w:firstLineChars="200"/>
        <w:jc w:val="both"/>
        <w:rPr>
          <w:rFonts w:ascii="Times New Roman" w:eastAsia="方正仿宋_GBK" w:cs="Times New Roman"/>
          <w:b/>
          <w:bCs/>
          <w:sz w:val="32"/>
          <w:szCs w:val="32"/>
        </w:rPr>
      </w:pPr>
      <w:r>
        <w:rPr>
          <w:rFonts w:ascii="Times New Roman" w:eastAsia="方正仿宋_GBK" w:cs="Times New Roman"/>
          <w:b/>
          <w:bCs/>
          <w:sz w:val="32"/>
          <w:szCs w:val="32"/>
        </w:rPr>
        <w:t>纸质材料：</w:t>
      </w:r>
    </w:p>
    <w:p w14:paraId="1AD195DF">
      <w:pPr>
        <w:snapToGrid w:val="0"/>
        <w:spacing w:line="590" w:lineRule="exact"/>
        <w:ind w:firstLine="640" w:firstLineChars="200"/>
        <w:rPr>
          <w:rFonts w:eastAsia="方正仿宋_GBK"/>
          <w:kern w:val="0"/>
          <w:sz w:val="32"/>
          <w:szCs w:val="32"/>
        </w:rPr>
      </w:pPr>
      <w:r>
        <w:rPr>
          <w:rFonts w:eastAsia="方正仿宋_GBK"/>
          <w:kern w:val="0"/>
          <w:sz w:val="32"/>
          <w:szCs w:val="32"/>
        </w:rPr>
        <w:t>《专业技术资格评审申报表》3份，审核通过后通过系统下载，用 A3 纸双面打印，对折后用骑马订方式装订，按要求审核签章。</w:t>
      </w:r>
    </w:p>
    <w:p w14:paraId="176D5596">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黑体_GBK" w:cs="Times New Roman"/>
          <w:sz w:val="32"/>
          <w:szCs w:val="32"/>
        </w:rPr>
      </w:pPr>
      <w:r>
        <w:rPr>
          <w:rFonts w:ascii="Times New Roman" w:eastAsia="方正黑体_GBK" w:cs="Times New Roman"/>
          <w:sz w:val="32"/>
          <w:szCs w:val="32"/>
        </w:rPr>
        <w:t>四、申报材料审核报送要求</w:t>
      </w:r>
    </w:p>
    <w:p w14:paraId="34CC10AD">
      <w:pPr>
        <w:snapToGrid w:val="0"/>
        <w:spacing w:line="590" w:lineRule="exact"/>
        <w:ind w:firstLine="640" w:firstLineChars="200"/>
        <w:rPr>
          <w:rFonts w:eastAsia="方正仿宋_GBK"/>
          <w:kern w:val="0"/>
          <w:sz w:val="32"/>
          <w:szCs w:val="32"/>
        </w:rPr>
      </w:pPr>
      <w:r>
        <w:rPr>
          <w:rFonts w:eastAsia="方正仿宋_GBK"/>
          <w:kern w:val="0"/>
          <w:sz w:val="32"/>
          <w:szCs w:val="32"/>
        </w:rPr>
        <w:t>（一）申报人所在单位应当严肃审核推荐程序，组织专人审核申报人申报资格，以及申报材料的真实性、完整性和时效性，做到公开公平公正，严格履行公示程序，公示时间不少于5个工作日，公示无异议方可申报。对于用人单位未按规定履行申报材料审核、推荐职责，放纵、包庇或者协助申报人弄虚作假；未按规定进行申报材料公示、对公示有异议或者投诉举报问题未及时调查核实；未按照职称评审管理权限及时上报申报材料，以及其他违规行为的，对直接负责的主管人员和其他直接责任人员予以批评教育，并责令限期整改。</w:t>
      </w:r>
    </w:p>
    <w:p w14:paraId="3C747E03">
      <w:pPr>
        <w:snapToGrid w:val="0"/>
        <w:spacing w:line="590" w:lineRule="exact"/>
        <w:ind w:firstLine="640" w:firstLineChars="200"/>
        <w:rPr>
          <w:rFonts w:eastAsia="方正仿宋_GBK"/>
          <w:sz w:val="32"/>
          <w:szCs w:val="32"/>
        </w:rPr>
      </w:pPr>
      <w:r>
        <w:rPr>
          <w:rFonts w:eastAsia="方正仿宋_GBK"/>
          <w:kern w:val="0"/>
          <w:sz w:val="32"/>
          <w:szCs w:val="32"/>
        </w:rPr>
        <w:t>（二）凡上年度申报评审未获通过者，其工作业绩、成果没有明显改善的，原则上</w:t>
      </w:r>
      <w:r>
        <w:rPr>
          <w:rFonts w:eastAsia="方正仿宋_GBK"/>
          <w:sz w:val="32"/>
          <w:szCs w:val="32"/>
        </w:rPr>
        <w:t>今年不得重复申报。</w:t>
      </w:r>
    </w:p>
    <w:p w14:paraId="0985651F">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（三）网上申报时间为2025年7月8日至7月31日，逾期系统将自动关闭，不予受理。</w:t>
      </w:r>
    </w:p>
    <w:p w14:paraId="7B98CA6C">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（四）材料报送地点：南通市司法局职称办（南通市崇文路1号启瑞广场主楼3104室）。联系电话：59002208，联系人：叶伟，QQ群号：1026309522。</w:t>
      </w:r>
    </w:p>
    <w:p w14:paraId="6DE8AAB7">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黑体_GBK" w:cs="Times New Roman"/>
          <w:sz w:val="32"/>
          <w:szCs w:val="32"/>
        </w:rPr>
      </w:pPr>
      <w:r>
        <w:rPr>
          <w:rFonts w:ascii="Times New Roman" w:eastAsia="方正黑体_GBK" w:cs="Times New Roman"/>
          <w:sz w:val="32"/>
          <w:szCs w:val="32"/>
        </w:rPr>
        <w:t>五、收费标准</w:t>
      </w:r>
    </w:p>
    <w:p w14:paraId="38F9AA5C">
      <w:pPr>
        <w:pStyle w:val="8"/>
        <w:widowControl w:val="0"/>
        <w:shd w:val="clear" w:color="auto" w:fill="FFFFFF"/>
        <w:snapToGrid w:val="0"/>
        <w:spacing w:before="0" w:beforeAutospacing="0" w:after="0" w:afterAutospacing="0" w:line="59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评审费用依据《江苏省财政厅江苏省发展和改革委员会关于公布2023年江苏省行政事业性收费项目目录的通知》（苏财综〔2024〕19号）执行，申报高级职称评审费400元/人，申报中级职称评审费200元/人，评审前汇至江苏省司法厅（账号：4301011409001020080，开户银行：工商银行南京宁海路支行，汇款请备注：单位+姓名+职称评审费）。</w:t>
      </w:r>
    </w:p>
    <w:p w14:paraId="1AD9C13D">
      <w:pPr>
        <w:snapToGrid w:val="0"/>
        <w:rPr>
          <w:rFonts w:eastAsia="方正仿宋_GBK"/>
          <w:sz w:val="32"/>
          <w:szCs w:val="32"/>
        </w:rPr>
      </w:pPr>
    </w:p>
    <w:p w14:paraId="67A2AE6B">
      <w:pPr>
        <w:snapToGrid w:val="0"/>
        <w:rPr>
          <w:rFonts w:eastAsia="方正仿宋_GBK"/>
          <w:sz w:val="32"/>
          <w:szCs w:val="32"/>
        </w:rPr>
      </w:pPr>
    </w:p>
    <w:p w14:paraId="687F7F34">
      <w:pPr>
        <w:snapToGrid w:val="0"/>
        <w:rPr>
          <w:rFonts w:eastAsia="方正仿宋_GBK"/>
          <w:sz w:val="32"/>
          <w:szCs w:val="32"/>
        </w:rPr>
      </w:pPr>
    </w:p>
    <w:p w14:paraId="5A6645BC">
      <w:pPr>
        <w:pStyle w:val="20"/>
        <w:snapToGrid w:val="0"/>
        <w:spacing w:line="100" w:lineRule="atLeast"/>
        <w:ind w:left="-57" w:right="-57"/>
        <w:rPr>
          <w:b/>
          <w:snapToGrid/>
          <w:kern w:val="2"/>
          <w:sz w:val="28"/>
          <w:szCs w:val="28"/>
        </w:rPr>
      </w:pPr>
    </w:p>
    <w:p w14:paraId="404151AC">
      <w:pPr>
        <w:pStyle w:val="20"/>
        <w:snapToGrid w:val="0"/>
        <w:spacing w:line="100" w:lineRule="atLeast"/>
        <w:ind w:left="-57" w:right="-57"/>
        <w:rPr>
          <w:b/>
          <w:snapToGrid/>
          <w:kern w:val="2"/>
          <w:sz w:val="28"/>
          <w:szCs w:val="28"/>
        </w:rPr>
      </w:pPr>
      <w:bookmarkStart w:id="0" w:name="_GoBack"/>
      <w:bookmarkEnd w:id="0"/>
    </w:p>
    <w:sectPr>
      <w:footerReference r:id="rId3" w:type="default"/>
      <w:footerReference r:id="rId4" w:type="even"/>
      <w:pgSz w:w="11906" w:h="16838"/>
      <w:pgMar w:top="1814" w:right="1531" w:bottom="1985"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C85F1">
    <w:pPr>
      <w:pStyle w:val="6"/>
      <w:wordWrap w:val="0"/>
      <w:jc w:val="right"/>
      <w:rPr>
        <w:rFonts w:eastAsia="方正仿宋_GBK"/>
        <w:sz w:val="28"/>
        <w:szCs w:val="28"/>
      </w:rPr>
    </w:pPr>
    <w:r>
      <w:rPr>
        <w:rFonts w:eastAsia="方正仿宋_GBK"/>
        <w:sz w:val="28"/>
        <w:szCs w:val="28"/>
      </w:rPr>
      <w:t xml:space="preserve">— </w:t>
    </w:r>
    <w:r>
      <w:rPr>
        <w:rFonts w:eastAsia="方正仿宋_GBK"/>
        <w:sz w:val="28"/>
        <w:szCs w:val="28"/>
      </w:rPr>
      <w:fldChar w:fldCharType="begin"/>
    </w:r>
    <w:r>
      <w:rPr>
        <w:rFonts w:eastAsia="方正仿宋_GBK"/>
        <w:sz w:val="28"/>
        <w:szCs w:val="28"/>
      </w:rPr>
      <w:instrText xml:space="preserve"> PAGE   \* MERGEFORMAT </w:instrText>
    </w:r>
    <w:r>
      <w:rPr>
        <w:rFonts w:eastAsia="方正仿宋_GBK"/>
        <w:sz w:val="28"/>
        <w:szCs w:val="28"/>
      </w:rPr>
      <w:fldChar w:fldCharType="separate"/>
    </w:r>
    <w:r>
      <w:rPr>
        <w:rFonts w:eastAsia="方正仿宋_GBK"/>
        <w:sz w:val="28"/>
        <w:szCs w:val="28"/>
        <w:lang w:val="zh-CN"/>
      </w:rPr>
      <w:t>1</w:t>
    </w:r>
    <w:r>
      <w:rPr>
        <w:rFonts w:eastAsia="方正仿宋_GBK"/>
        <w:sz w:val="28"/>
        <w:szCs w:val="28"/>
      </w:rPr>
      <w:fldChar w:fldCharType="end"/>
    </w:r>
    <w:r>
      <w:rPr>
        <w:rFonts w:eastAsia="方正仿宋_GBK"/>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5E1D9">
    <w:pPr>
      <w:pStyle w:val="6"/>
      <w:ind w:firstLine="280" w:firstLineChars="100"/>
      <w:rPr>
        <w:rFonts w:eastAsia="方正仿宋_GBK"/>
      </w:rPr>
    </w:pPr>
    <w:r>
      <w:rPr>
        <w:rFonts w:eastAsia="方正仿宋_GBK"/>
        <w:sz w:val="28"/>
        <w:szCs w:val="28"/>
      </w:rPr>
      <w:t xml:space="preserve">— </w:t>
    </w:r>
    <w:r>
      <w:rPr>
        <w:rFonts w:eastAsia="方正仿宋_GBK"/>
        <w:sz w:val="28"/>
        <w:szCs w:val="28"/>
      </w:rPr>
      <w:fldChar w:fldCharType="begin"/>
    </w:r>
    <w:r>
      <w:rPr>
        <w:rFonts w:eastAsia="方正仿宋_GBK"/>
        <w:sz w:val="28"/>
        <w:szCs w:val="28"/>
      </w:rPr>
      <w:instrText xml:space="preserve"> PAGE   \* MERGEFORMAT </w:instrText>
    </w:r>
    <w:r>
      <w:rPr>
        <w:rFonts w:eastAsia="方正仿宋_GBK"/>
        <w:sz w:val="28"/>
        <w:szCs w:val="28"/>
      </w:rPr>
      <w:fldChar w:fldCharType="separate"/>
    </w:r>
    <w:r>
      <w:rPr>
        <w:rFonts w:eastAsia="方正仿宋_GBK"/>
        <w:sz w:val="28"/>
        <w:szCs w:val="28"/>
        <w:lang w:val="zh-CN"/>
      </w:rPr>
      <w:t>2</w:t>
    </w:r>
    <w:r>
      <w:rPr>
        <w:rFonts w:eastAsia="方正仿宋_GBK"/>
        <w:sz w:val="28"/>
        <w:szCs w:val="28"/>
      </w:rPr>
      <w:fldChar w:fldCharType="end"/>
    </w:r>
    <w:r>
      <w:rPr>
        <w:rFonts w:eastAsia="方正仿宋_GBK"/>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77F1"/>
    <w:rsid w:val="00012362"/>
    <w:rsid w:val="00016F61"/>
    <w:rsid w:val="00025DD6"/>
    <w:rsid w:val="000418E3"/>
    <w:rsid w:val="00043ACC"/>
    <w:rsid w:val="0004765E"/>
    <w:rsid w:val="000518C5"/>
    <w:rsid w:val="000530EE"/>
    <w:rsid w:val="00057752"/>
    <w:rsid w:val="00057B11"/>
    <w:rsid w:val="0006633A"/>
    <w:rsid w:val="0007207E"/>
    <w:rsid w:val="000762FF"/>
    <w:rsid w:val="00086C0C"/>
    <w:rsid w:val="00091B68"/>
    <w:rsid w:val="00093EB5"/>
    <w:rsid w:val="00096B21"/>
    <w:rsid w:val="00097C75"/>
    <w:rsid w:val="000C2454"/>
    <w:rsid w:val="000D2268"/>
    <w:rsid w:val="000E6755"/>
    <w:rsid w:val="000E69B2"/>
    <w:rsid w:val="000E6D77"/>
    <w:rsid w:val="000F1042"/>
    <w:rsid w:val="000F13C1"/>
    <w:rsid w:val="00100373"/>
    <w:rsid w:val="00120C4C"/>
    <w:rsid w:val="00123C70"/>
    <w:rsid w:val="001278E7"/>
    <w:rsid w:val="001535FE"/>
    <w:rsid w:val="00154299"/>
    <w:rsid w:val="00160349"/>
    <w:rsid w:val="00165019"/>
    <w:rsid w:val="001673EA"/>
    <w:rsid w:val="00177B84"/>
    <w:rsid w:val="00191250"/>
    <w:rsid w:val="00191833"/>
    <w:rsid w:val="001A75DD"/>
    <w:rsid w:val="001B0F00"/>
    <w:rsid w:val="001C06D9"/>
    <w:rsid w:val="001C4461"/>
    <w:rsid w:val="001D5E58"/>
    <w:rsid w:val="002068BC"/>
    <w:rsid w:val="002162DD"/>
    <w:rsid w:val="00227CD3"/>
    <w:rsid w:val="0023000B"/>
    <w:rsid w:val="00261372"/>
    <w:rsid w:val="00272BD8"/>
    <w:rsid w:val="0028396C"/>
    <w:rsid w:val="00286B34"/>
    <w:rsid w:val="00295664"/>
    <w:rsid w:val="00296CF8"/>
    <w:rsid w:val="002A4B09"/>
    <w:rsid w:val="002B2456"/>
    <w:rsid w:val="002B4CD4"/>
    <w:rsid w:val="002D3596"/>
    <w:rsid w:val="002D3B70"/>
    <w:rsid w:val="002E354B"/>
    <w:rsid w:val="002F4617"/>
    <w:rsid w:val="002F5925"/>
    <w:rsid w:val="00307337"/>
    <w:rsid w:val="00327CEC"/>
    <w:rsid w:val="00330662"/>
    <w:rsid w:val="003506F8"/>
    <w:rsid w:val="00354F4D"/>
    <w:rsid w:val="00357D4D"/>
    <w:rsid w:val="00362E79"/>
    <w:rsid w:val="0037290C"/>
    <w:rsid w:val="00381A21"/>
    <w:rsid w:val="0038548B"/>
    <w:rsid w:val="00386CE9"/>
    <w:rsid w:val="0039092A"/>
    <w:rsid w:val="0039162A"/>
    <w:rsid w:val="00392993"/>
    <w:rsid w:val="003950AA"/>
    <w:rsid w:val="003960D2"/>
    <w:rsid w:val="003A432F"/>
    <w:rsid w:val="003A5E03"/>
    <w:rsid w:val="003A6C5A"/>
    <w:rsid w:val="003A7E71"/>
    <w:rsid w:val="003B355B"/>
    <w:rsid w:val="003B6906"/>
    <w:rsid w:val="003C6317"/>
    <w:rsid w:val="00403ADA"/>
    <w:rsid w:val="00403E21"/>
    <w:rsid w:val="0040495F"/>
    <w:rsid w:val="004204E0"/>
    <w:rsid w:val="004242E6"/>
    <w:rsid w:val="004253C5"/>
    <w:rsid w:val="00427C59"/>
    <w:rsid w:val="004335AC"/>
    <w:rsid w:val="004352C4"/>
    <w:rsid w:val="00441601"/>
    <w:rsid w:val="00443358"/>
    <w:rsid w:val="00451008"/>
    <w:rsid w:val="004535ED"/>
    <w:rsid w:val="00466D9C"/>
    <w:rsid w:val="00475BB8"/>
    <w:rsid w:val="00482FFC"/>
    <w:rsid w:val="004831B1"/>
    <w:rsid w:val="00483B75"/>
    <w:rsid w:val="00484F35"/>
    <w:rsid w:val="00487A9C"/>
    <w:rsid w:val="00490263"/>
    <w:rsid w:val="00492A9E"/>
    <w:rsid w:val="004C05E4"/>
    <w:rsid w:val="005004EC"/>
    <w:rsid w:val="00503323"/>
    <w:rsid w:val="00517BD6"/>
    <w:rsid w:val="00520A4F"/>
    <w:rsid w:val="005313C9"/>
    <w:rsid w:val="005314B3"/>
    <w:rsid w:val="00540DD6"/>
    <w:rsid w:val="005426D4"/>
    <w:rsid w:val="00543D28"/>
    <w:rsid w:val="005545E1"/>
    <w:rsid w:val="00554F0B"/>
    <w:rsid w:val="00565AF3"/>
    <w:rsid w:val="00596A8E"/>
    <w:rsid w:val="005A7CDD"/>
    <w:rsid w:val="005B568B"/>
    <w:rsid w:val="005C199A"/>
    <w:rsid w:val="005C6D42"/>
    <w:rsid w:val="005E3AA9"/>
    <w:rsid w:val="005E6146"/>
    <w:rsid w:val="005F2F2E"/>
    <w:rsid w:val="005F5A4D"/>
    <w:rsid w:val="005F5B21"/>
    <w:rsid w:val="00602519"/>
    <w:rsid w:val="006034CE"/>
    <w:rsid w:val="00605A48"/>
    <w:rsid w:val="00621DDD"/>
    <w:rsid w:val="006221CF"/>
    <w:rsid w:val="00633969"/>
    <w:rsid w:val="00633DBB"/>
    <w:rsid w:val="00641010"/>
    <w:rsid w:val="00641FE7"/>
    <w:rsid w:val="006602B4"/>
    <w:rsid w:val="006602CE"/>
    <w:rsid w:val="00667E8E"/>
    <w:rsid w:val="00677E3F"/>
    <w:rsid w:val="00691AAD"/>
    <w:rsid w:val="0069662E"/>
    <w:rsid w:val="006B7A3B"/>
    <w:rsid w:val="006C01C4"/>
    <w:rsid w:val="006C3F50"/>
    <w:rsid w:val="006D24B0"/>
    <w:rsid w:val="006D3F93"/>
    <w:rsid w:val="006D660C"/>
    <w:rsid w:val="006D7279"/>
    <w:rsid w:val="006E45C2"/>
    <w:rsid w:val="006E46B7"/>
    <w:rsid w:val="006F5DFD"/>
    <w:rsid w:val="007018BF"/>
    <w:rsid w:val="007048FF"/>
    <w:rsid w:val="0070721E"/>
    <w:rsid w:val="00707406"/>
    <w:rsid w:val="00707D92"/>
    <w:rsid w:val="0071277E"/>
    <w:rsid w:val="00722DB9"/>
    <w:rsid w:val="00727530"/>
    <w:rsid w:val="007326E1"/>
    <w:rsid w:val="00734BD4"/>
    <w:rsid w:val="00742305"/>
    <w:rsid w:val="007429CF"/>
    <w:rsid w:val="007560CE"/>
    <w:rsid w:val="007615F1"/>
    <w:rsid w:val="0076487C"/>
    <w:rsid w:val="00773BDF"/>
    <w:rsid w:val="00780C75"/>
    <w:rsid w:val="0078137B"/>
    <w:rsid w:val="007A391B"/>
    <w:rsid w:val="007B7A1C"/>
    <w:rsid w:val="007C0EAD"/>
    <w:rsid w:val="007C5E6E"/>
    <w:rsid w:val="007C686A"/>
    <w:rsid w:val="007D10D6"/>
    <w:rsid w:val="007E73B9"/>
    <w:rsid w:val="007E7894"/>
    <w:rsid w:val="007F07F3"/>
    <w:rsid w:val="007F4AD3"/>
    <w:rsid w:val="008021C9"/>
    <w:rsid w:val="008271DE"/>
    <w:rsid w:val="00844708"/>
    <w:rsid w:val="00852E8C"/>
    <w:rsid w:val="00855BBC"/>
    <w:rsid w:val="00862EB0"/>
    <w:rsid w:val="008921BC"/>
    <w:rsid w:val="0089361A"/>
    <w:rsid w:val="008951B1"/>
    <w:rsid w:val="00896C52"/>
    <w:rsid w:val="008E16A7"/>
    <w:rsid w:val="0090662C"/>
    <w:rsid w:val="00927D2D"/>
    <w:rsid w:val="00935756"/>
    <w:rsid w:val="0096372E"/>
    <w:rsid w:val="009643E5"/>
    <w:rsid w:val="00965457"/>
    <w:rsid w:val="009669F6"/>
    <w:rsid w:val="009859FD"/>
    <w:rsid w:val="00986B5E"/>
    <w:rsid w:val="00991502"/>
    <w:rsid w:val="009A4C51"/>
    <w:rsid w:val="009A77F1"/>
    <w:rsid w:val="009B38E4"/>
    <w:rsid w:val="009B70E9"/>
    <w:rsid w:val="009C2A7F"/>
    <w:rsid w:val="009D0983"/>
    <w:rsid w:val="009D3338"/>
    <w:rsid w:val="009E6914"/>
    <w:rsid w:val="009F277C"/>
    <w:rsid w:val="00A036C9"/>
    <w:rsid w:val="00A1158F"/>
    <w:rsid w:val="00A1254D"/>
    <w:rsid w:val="00A1718E"/>
    <w:rsid w:val="00A204BA"/>
    <w:rsid w:val="00A221E6"/>
    <w:rsid w:val="00A30197"/>
    <w:rsid w:val="00A339D3"/>
    <w:rsid w:val="00A501B4"/>
    <w:rsid w:val="00A62804"/>
    <w:rsid w:val="00A662CA"/>
    <w:rsid w:val="00A707A7"/>
    <w:rsid w:val="00A7275B"/>
    <w:rsid w:val="00A936C6"/>
    <w:rsid w:val="00A93EA0"/>
    <w:rsid w:val="00A97612"/>
    <w:rsid w:val="00AA0EFD"/>
    <w:rsid w:val="00AA785D"/>
    <w:rsid w:val="00AB47BA"/>
    <w:rsid w:val="00AB5171"/>
    <w:rsid w:val="00AC48DF"/>
    <w:rsid w:val="00AD3663"/>
    <w:rsid w:val="00AE2358"/>
    <w:rsid w:val="00AE2BFC"/>
    <w:rsid w:val="00AE4E00"/>
    <w:rsid w:val="00AE5967"/>
    <w:rsid w:val="00AE5EB9"/>
    <w:rsid w:val="00AF05EE"/>
    <w:rsid w:val="00AF1E2F"/>
    <w:rsid w:val="00AF3CA7"/>
    <w:rsid w:val="00AF533A"/>
    <w:rsid w:val="00AF66AD"/>
    <w:rsid w:val="00AF6997"/>
    <w:rsid w:val="00B03083"/>
    <w:rsid w:val="00B03E7F"/>
    <w:rsid w:val="00B21C92"/>
    <w:rsid w:val="00B273D4"/>
    <w:rsid w:val="00B30F9E"/>
    <w:rsid w:val="00B34160"/>
    <w:rsid w:val="00B41876"/>
    <w:rsid w:val="00B467A8"/>
    <w:rsid w:val="00B51D02"/>
    <w:rsid w:val="00B52CF1"/>
    <w:rsid w:val="00B545DB"/>
    <w:rsid w:val="00B730FA"/>
    <w:rsid w:val="00B84ABD"/>
    <w:rsid w:val="00B916AA"/>
    <w:rsid w:val="00B95A32"/>
    <w:rsid w:val="00B95C83"/>
    <w:rsid w:val="00B96EF2"/>
    <w:rsid w:val="00BC373C"/>
    <w:rsid w:val="00BD589D"/>
    <w:rsid w:val="00BE2CBC"/>
    <w:rsid w:val="00BF3B8C"/>
    <w:rsid w:val="00C014A6"/>
    <w:rsid w:val="00C0618D"/>
    <w:rsid w:val="00C11548"/>
    <w:rsid w:val="00C1202C"/>
    <w:rsid w:val="00C14990"/>
    <w:rsid w:val="00C20291"/>
    <w:rsid w:val="00C2260D"/>
    <w:rsid w:val="00C402B1"/>
    <w:rsid w:val="00C417DF"/>
    <w:rsid w:val="00C41B6D"/>
    <w:rsid w:val="00C45C45"/>
    <w:rsid w:val="00C50889"/>
    <w:rsid w:val="00C51D49"/>
    <w:rsid w:val="00C57FEA"/>
    <w:rsid w:val="00C623F0"/>
    <w:rsid w:val="00C6610F"/>
    <w:rsid w:val="00C66D47"/>
    <w:rsid w:val="00C7418B"/>
    <w:rsid w:val="00C76979"/>
    <w:rsid w:val="00C83871"/>
    <w:rsid w:val="00C85F1C"/>
    <w:rsid w:val="00C87623"/>
    <w:rsid w:val="00CA2E26"/>
    <w:rsid w:val="00CE3E60"/>
    <w:rsid w:val="00CF2D3D"/>
    <w:rsid w:val="00CF5F77"/>
    <w:rsid w:val="00CF6E8A"/>
    <w:rsid w:val="00CF72BB"/>
    <w:rsid w:val="00D02B59"/>
    <w:rsid w:val="00D1536A"/>
    <w:rsid w:val="00D228BC"/>
    <w:rsid w:val="00D267B4"/>
    <w:rsid w:val="00D41132"/>
    <w:rsid w:val="00D5487B"/>
    <w:rsid w:val="00D64DB6"/>
    <w:rsid w:val="00D7221A"/>
    <w:rsid w:val="00D766A4"/>
    <w:rsid w:val="00D87051"/>
    <w:rsid w:val="00DA2CDB"/>
    <w:rsid w:val="00DA329D"/>
    <w:rsid w:val="00DB5B75"/>
    <w:rsid w:val="00DC2C02"/>
    <w:rsid w:val="00DC59F3"/>
    <w:rsid w:val="00DD4EE4"/>
    <w:rsid w:val="00DE01AE"/>
    <w:rsid w:val="00DE2AEC"/>
    <w:rsid w:val="00DF3B2E"/>
    <w:rsid w:val="00E019ED"/>
    <w:rsid w:val="00E07C28"/>
    <w:rsid w:val="00E20473"/>
    <w:rsid w:val="00E50CE0"/>
    <w:rsid w:val="00E52D7C"/>
    <w:rsid w:val="00E60F66"/>
    <w:rsid w:val="00E8003A"/>
    <w:rsid w:val="00E833AC"/>
    <w:rsid w:val="00E94F1A"/>
    <w:rsid w:val="00EA11F6"/>
    <w:rsid w:val="00EA2743"/>
    <w:rsid w:val="00EA2D90"/>
    <w:rsid w:val="00EA3115"/>
    <w:rsid w:val="00EA653A"/>
    <w:rsid w:val="00EC0972"/>
    <w:rsid w:val="00EC34E7"/>
    <w:rsid w:val="00EC4076"/>
    <w:rsid w:val="00EC6A8B"/>
    <w:rsid w:val="00EC6B5C"/>
    <w:rsid w:val="00ED11C8"/>
    <w:rsid w:val="00EE48BE"/>
    <w:rsid w:val="00F002A0"/>
    <w:rsid w:val="00F03D81"/>
    <w:rsid w:val="00F04093"/>
    <w:rsid w:val="00F10D3A"/>
    <w:rsid w:val="00F1571A"/>
    <w:rsid w:val="00F17B67"/>
    <w:rsid w:val="00F236DA"/>
    <w:rsid w:val="00F27CF7"/>
    <w:rsid w:val="00F45AEC"/>
    <w:rsid w:val="00F46093"/>
    <w:rsid w:val="00F50D67"/>
    <w:rsid w:val="00F55C19"/>
    <w:rsid w:val="00F6237C"/>
    <w:rsid w:val="00F67B68"/>
    <w:rsid w:val="00F84E39"/>
    <w:rsid w:val="00F96E75"/>
    <w:rsid w:val="00F96FA3"/>
    <w:rsid w:val="00F97C58"/>
    <w:rsid w:val="00FA58E3"/>
    <w:rsid w:val="00FC3445"/>
    <w:rsid w:val="00FD22E8"/>
    <w:rsid w:val="00FE06DE"/>
    <w:rsid w:val="00FE3977"/>
    <w:rsid w:val="00FE4361"/>
    <w:rsid w:val="05C0121C"/>
    <w:rsid w:val="19130BE2"/>
    <w:rsid w:val="1F007D5F"/>
    <w:rsid w:val="304D30D8"/>
    <w:rsid w:val="59E966A6"/>
    <w:rsid w:val="6A297CD0"/>
    <w:rsid w:val="779B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0"/>
    <w:pPr>
      <w:spacing w:after="120" w:line="480" w:lineRule="auto"/>
    </w:pPr>
  </w:style>
  <w:style w:type="paragraph" w:styleId="4">
    <w:name w:val="Normal Indent"/>
    <w:basedOn w:val="1"/>
    <w:qFormat/>
    <w:uiPriority w:val="0"/>
    <w:pPr>
      <w:ind w:firstLine="420" w:firstLineChars="200"/>
    </w:pPr>
  </w:style>
  <w:style w:type="paragraph" w:styleId="5">
    <w:name w:val="Date"/>
    <w:basedOn w:val="1"/>
    <w:next w:val="1"/>
    <w:link w:val="22"/>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cs="宋体"/>
      <w:kern w:val="0"/>
      <w:sz w:val="24"/>
    </w:rPr>
  </w:style>
  <w:style w:type="character" w:styleId="11">
    <w:name w:val="Emphasis"/>
    <w:basedOn w:val="10"/>
    <w:qFormat/>
    <w:uiPriority w:val="20"/>
    <w:rPr>
      <w:color w:val="CC0000"/>
    </w:rPr>
  </w:style>
  <w:style w:type="character" w:styleId="12">
    <w:name w:val="Hyperlink"/>
    <w:basedOn w:val="10"/>
    <w:semiHidden/>
    <w:unhideWhenUsed/>
    <w:qFormat/>
    <w:uiPriority w:val="99"/>
    <w:rPr>
      <w:color w:val="0000CC"/>
      <w:u w:val="single"/>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customStyle="1" w:styleId="15">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styleId="16">
    <w:name w:val="List Paragraph"/>
    <w:basedOn w:val="1"/>
    <w:qFormat/>
    <w:uiPriority w:val="34"/>
    <w:pPr>
      <w:ind w:firstLine="420" w:firstLineChars="200"/>
    </w:pPr>
    <w:rPr>
      <w:rFonts w:ascii="Calibri" w:hAnsi="Calibri"/>
    </w:rPr>
  </w:style>
  <w:style w:type="paragraph" w:customStyle="1" w:styleId="17">
    <w:name w:val="p0"/>
    <w:basedOn w:val="1"/>
    <w:qFormat/>
    <w:uiPriority w:val="0"/>
    <w:pPr>
      <w:widowControl/>
    </w:pPr>
    <w:rPr>
      <w:kern w:val="0"/>
      <w:szCs w:val="21"/>
    </w:rPr>
  </w:style>
  <w:style w:type="paragraph" w:customStyle="1" w:styleId="18">
    <w:name w:val="p16"/>
    <w:basedOn w:val="1"/>
    <w:qFormat/>
    <w:uiPriority w:val="0"/>
    <w:pPr>
      <w:widowControl/>
    </w:pPr>
    <w:rPr>
      <w:kern w:val="0"/>
      <w:szCs w:val="21"/>
    </w:rPr>
  </w:style>
  <w:style w:type="paragraph" w:customStyle="1" w:styleId="19">
    <w:name w:val="抄送栏"/>
    <w:basedOn w:val="1"/>
    <w:qFormat/>
    <w:uiPriority w:val="0"/>
    <w:pPr>
      <w:autoSpaceDE w:val="0"/>
      <w:autoSpaceDN w:val="0"/>
      <w:adjustRightInd w:val="0"/>
      <w:spacing w:line="454" w:lineRule="atLeast"/>
      <w:ind w:left="1310" w:right="357" w:hanging="953"/>
    </w:pPr>
    <w:rPr>
      <w:rFonts w:eastAsia="方正仿宋_GBK"/>
      <w:snapToGrid w:val="0"/>
      <w:kern w:val="0"/>
      <w:sz w:val="32"/>
      <w:szCs w:val="20"/>
    </w:rPr>
  </w:style>
  <w:style w:type="paragraph" w:customStyle="1" w:styleId="20">
    <w:name w:val="线型"/>
    <w:basedOn w:val="19"/>
    <w:qFormat/>
    <w:uiPriority w:val="0"/>
    <w:pPr>
      <w:spacing w:line="240" w:lineRule="auto"/>
      <w:ind w:left="0" w:firstLine="0"/>
      <w:jc w:val="center"/>
    </w:pPr>
    <w:rPr>
      <w:sz w:val="21"/>
    </w:rPr>
  </w:style>
  <w:style w:type="paragraph" w:customStyle="1" w:styleId="21">
    <w:name w:val="印发栏"/>
    <w:basedOn w:val="4"/>
    <w:qFormat/>
    <w:uiPriority w:val="0"/>
    <w:pPr>
      <w:tabs>
        <w:tab w:val="right" w:pos="8465"/>
      </w:tabs>
      <w:autoSpaceDE w:val="0"/>
      <w:autoSpaceDN w:val="0"/>
      <w:adjustRightInd w:val="0"/>
      <w:spacing w:line="454" w:lineRule="atLeast"/>
      <w:ind w:left="357" w:right="357" w:firstLine="0" w:firstLineChars="0"/>
      <w:jc w:val="left"/>
    </w:pPr>
    <w:rPr>
      <w:rFonts w:eastAsia="方正仿宋_GBK"/>
      <w:snapToGrid w:val="0"/>
      <w:kern w:val="0"/>
      <w:sz w:val="32"/>
      <w:szCs w:val="20"/>
    </w:rPr>
  </w:style>
  <w:style w:type="character" w:customStyle="1" w:styleId="22">
    <w:name w:val="日期 字符"/>
    <w:basedOn w:val="10"/>
    <w:link w:val="5"/>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8</Pages>
  <Words>3415</Words>
  <Characters>3568</Characters>
  <Lines>27</Lines>
  <Paragraphs>7</Paragraphs>
  <TotalTime>10</TotalTime>
  <ScaleCrop>false</ScaleCrop>
  <LinksUpToDate>false</LinksUpToDate>
  <CharactersWithSpaces>3679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2020-05-15T01:28:00Z</dcterms:created>
  <dc:creator>admin</dc:creator>
  <cp:lastModifiedBy>sc</cp:lastModifiedBy>
  <cp:lastPrinted>2017-11-27T08:33:00Z</cp:lastPrinted>
  <dcterms:modified xsi:type="dcterms:W3CDTF">2025-07-09T07:20:42Z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52FD4777D3DF4892BEBF919A993958F8</vt:lpwstr>
  </property>
  <property fmtid="{D5CDD505-2E9C-101B-9397-08002B2CF9AE}" pid="4" name="KSOTemplateDocerSaveRecord">
    <vt:lpwstr>eyJoZGlkIjoiZjJhOTlmYjVkNzNjZjY3YTY3YzIwYjFiM2ZkNzIyMzkiLCJ1c2VySWQiOiIyMTY3NDkwNDEifQ==</vt:lpwstr>
  </property>
</Properties>
</file>